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6B" w:rsidRDefault="00BA243D">
      <w:r>
        <w:t>Guidance for home learning, Y1</w:t>
      </w:r>
    </w:p>
    <w:p w:rsidR="002839E9" w:rsidRDefault="002839E9">
      <w:r>
        <w:t>Year 1 Maths:</w:t>
      </w:r>
      <w:r w:rsidR="0009606B">
        <w:t xml:space="preserve"> National Curriculum guidance.</w:t>
      </w:r>
    </w:p>
    <w:p w:rsidR="002839E9" w:rsidRDefault="0009606B" w:rsidP="002839E9">
      <w:pPr>
        <w:pStyle w:val="ListParagraph"/>
        <w:numPr>
          <w:ilvl w:val="0"/>
          <w:numId w:val="1"/>
        </w:numPr>
      </w:pPr>
      <w:r>
        <w:t>Statutory requirement: Multiplication solving one-step problems involving multiplication and division, by calculating the answer using concrete objects, pictorial representations and arrays with support</w:t>
      </w:r>
      <w:r w:rsidR="00BA243D">
        <w:t>ed help.</w:t>
      </w:r>
    </w:p>
    <w:p w:rsidR="0009606B" w:rsidRDefault="0009606B" w:rsidP="002839E9">
      <w:pPr>
        <w:pStyle w:val="ListParagraph"/>
        <w:numPr>
          <w:ilvl w:val="0"/>
          <w:numId w:val="1"/>
        </w:numPr>
        <w:rPr>
          <w:b/>
        </w:rPr>
      </w:pPr>
      <w:r>
        <w:t xml:space="preserve">Non-statutory: Through </w:t>
      </w:r>
      <w:r w:rsidRPr="0009606B">
        <w:rPr>
          <w:b/>
        </w:rPr>
        <w:t>grouping</w:t>
      </w:r>
      <w:r>
        <w:t xml:space="preserve"> and </w:t>
      </w:r>
      <w:r w:rsidRPr="0009606B">
        <w:rPr>
          <w:b/>
        </w:rPr>
        <w:t>sharing</w:t>
      </w:r>
      <w:r>
        <w:t xml:space="preserve"> small quantities, pupils begin to understand: multiplication and division</w:t>
      </w:r>
      <w:r w:rsidRPr="0009606B">
        <w:rPr>
          <w:b/>
        </w:rPr>
        <w:t>; doubling numbers</w:t>
      </w:r>
      <w:r>
        <w:t xml:space="preserve"> and quantities; and finding </w:t>
      </w:r>
      <w:r w:rsidRPr="0009606B">
        <w:rPr>
          <w:b/>
        </w:rPr>
        <w:t>simple fractions</w:t>
      </w:r>
      <w:r>
        <w:t xml:space="preserve"> of objects, numbers and quantities. They make connections between </w:t>
      </w:r>
      <w:r w:rsidRPr="0009606B">
        <w:rPr>
          <w:b/>
        </w:rPr>
        <w:t>arrays</w:t>
      </w:r>
      <w:r>
        <w:t xml:space="preserve">, </w:t>
      </w:r>
      <w:r w:rsidRPr="0009606B">
        <w:rPr>
          <w:b/>
        </w:rPr>
        <w:t>number patterns</w:t>
      </w:r>
      <w:r>
        <w:t xml:space="preserve">, </w:t>
      </w:r>
      <w:r w:rsidRPr="0009606B">
        <w:rPr>
          <w:b/>
        </w:rPr>
        <w:t>and counting in twos, fives and tens.</w:t>
      </w:r>
    </w:p>
    <w:p w:rsidR="0009606B" w:rsidRDefault="0009606B" w:rsidP="0009606B">
      <w:pPr>
        <w:rPr>
          <w:b/>
        </w:rPr>
      </w:pPr>
    </w:p>
    <w:p w:rsidR="0009606B" w:rsidRDefault="00BA243D" w:rsidP="0009606B">
      <w:pPr>
        <w:rPr>
          <w:b/>
        </w:rPr>
      </w:pPr>
      <w:r>
        <w:rPr>
          <w:b/>
        </w:rPr>
        <w:t>Repeated aggreg</w:t>
      </w:r>
      <w:r w:rsidR="0009606B">
        <w:rPr>
          <w:b/>
        </w:rPr>
        <w:t>ation structure/ Repeated addition:</w:t>
      </w:r>
    </w:p>
    <w:p w:rsidR="0009606B" w:rsidRDefault="0009606B" w:rsidP="0009606B">
      <w:pPr>
        <w:pStyle w:val="ListParagraph"/>
        <w:numPr>
          <w:ilvl w:val="0"/>
          <w:numId w:val="1"/>
        </w:numPr>
        <w:rPr>
          <w:b/>
        </w:rPr>
      </w:pPr>
      <w:r>
        <w:t xml:space="preserve">This is the idea that multiplication means </w:t>
      </w:r>
      <w:r w:rsidRPr="0009606B">
        <w:rPr>
          <w:b/>
        </w:rPr>
        <w:t>‘so many lots of’</w:t>
      </w:r>
      <w:r>
        <w:t xml:space="preserve"> or ‘</w:t>
      </w:r>
      <w:r w:rsidRPr="0009606B">
        <w:rPr>
          <w:b/>
        </w:rPr>
        <w:t>so many sets of’</w:t>
      </w:r>
    </w:p>
    <w:p w:rsidR="0009606B" w:rsidRPr="004C1785" w:rsidRDefault="0009606B" w:rsidP="0009606B">
      <w:pPr>
        <w:pStyle w:val="ListParagraph"/>
        <w:numPr>
          <w:ilvl w:val="0"/>
          <w:numId w:val="1"/>
        </w:numPr>
        <w:rPr>
          <w:b/>
        </w:rPr>
      </w:pPr>
      <w:r>
        <w:t xml:space="preserve">10 sets of 3 counters </w:t>
      </w:r>
    </w:p>
    <w:p w:rsidR="004C1785" w:rsidRPr="00BA243D" w:rsidRDefault="004C1785" w:rsidP="0009606B">
      <w:pPr>
        <w:pStyle w:val="ListParagraph"/>
        <w:numPr>
          <w:ilvl w:val="0"/>
          <w:numId w:val="1"/>
        </w:numPr>
        <w:rPr>
          <w:b/>
        </w:rPr>
      </w:pPr>
      <w:r>
        <w:t>‘How many counters altogether? Is related to the multiplication question 3 x 10</w:t>
      </w:r>
    </w:p>
    <w:p w:rsidR="00BA243D" w:rsidRPr="004C1785" w:rsidRDefault="00BA243D" w:rsidP="0009606B">
      <w:pPr>
        <w:pStyle w:val="ListParagraph"/>
        <w:numPr>
          <w:ilvl w:val="0"/>
          <w:numId w:val="1"/>
        </w:numPr>
        <w:rPr>
          <w:b/>
        </w:rPr>
      </w:pPr>
      <w:r>
        <w:t xml:space="preserve">SEE PHOTO below. </w:t>
      </w:r>
    </w:p>
    <w:p w:rsidR="004C1785" w:rsidRDefault="004C1785" w:rsidP="004C1785">
      <w:pPr>
        <w:rPr>
          <w:b/>
        </w:rPr>
      </w:pPr>
    </w:p>
    <w:p w:rsidR="004C1785" w:rsidRDefault="004C1785" w:rsidP="004C1785">
      <w:pPr>
        <w:rPr>
          <w:b/>
        </w:rPr>
      </w:pPr>
      <w:r>
        <w:rPr>
          <w:b/>
        </w:rPr>
        <w:t xml:space="preserve">KEY LANGUAGE: </w:t>
      </w:r>
    </w:p>
    <w:p w:rsidR="004C1785" w:rsidRDefault="004C1785" w:rsidP="004C1785">
      <w:r>
        <w:t xml:space="preserve">If have place key language in bold, it might be helpful to write these on coloured paper or post it notes. Always encourage your child to refer to these. </w:t>
      </w:r>
    </w:p>
    <w:p w:rsidR="004C1785" w:rsidRDefault="004C1785" w:rsidP="004C1785">
      <w:pPr>
        <w:pStyle w:val="ListParagraph"/>
        <w:numPr>
          <w:ilvl w:val="0"/>
          <w:numId w:val="1"/>
        </w:numPr>
      </w:pPr>
      <w:r>
        <w:t xml:space="preserve">… many sets/lots of … </w:t>
      </w:r>
    </w:p>
    <w:p w:rsidR="004C1785" w:rsidRDefault="004C1785" w:rsidP="004C1785">
      <w:pPr>
        <w:pStyle w:val="ListParagraph"/>
        <w:numPr>
          <w:ilvl w:val="0"/>
          <w:numId w:val="1"/>
        </w:numPr>
      </w:pPr>
      <w:r>
        <w:t xml:space="preserve">How many (how much) altogether, </w:t>
      </w:r>
    </w:p>
    <w:p w:rsidR="004C1785" w:rsidRDefault="004C1785" w:rsidP="004C1785">
      <w:pPr>
        <w:pStyle w:val="ListParagraph"/>
        <w:numPr>
          <w:ilvl w:val="0"/>
          <w:numId w:val="1"/>
        </w:numPr>
      </w:pPr>
      <w:r>
        <w:t>Per,</w:t>
      </w:r>
    </w:p>
    <w:p w:rsidR="004C1785" w:rsidRDefault="004C1785" w:rsidP="004C1785">
      <w:pPr>
        <w:pStyle w:val="ListParagraph"/>
        <w:numPr>
          <w:ilvl w:val="0"/>
          <w:numId w:val="1"/>
        </w:numPr>
      </w:pPr>
      <w:r>
        <w:t xml:space="preserve">Each. </w:t>
      </w:r>
    </w:p>
    <w:p w:rsidR="004C1785" w:rsidRDefault="004C1785" w:rsidP="004C1785"/>
    <w:p w:rsidR="00BA243D" w:rsidRDefault="00BA243D" w:rsidP="004C1785">
      <w:r>
        <w:t xml:space="preserve">We will post support and guidance with activities that are set for your child. There are also lots of great resources available online </w:t>
      </w:r>
      <w:proofErr w:type="gramStart"/>
      <w:r>
        <w:t>via  BBC</w:t>
      </w:r>
      <w:proofErr w:type="gramEnd"/>
      <w:r>
        <w:t xml:space="preserve"> Bitesize  </w:t>
      </w:r>
      <w:hyperlink r:id="rId6" w:history="1">
        <w:r>
          <w:rPr>
            <w:rStyle w:val="Hyperlink"/>
          </w:rPr>
          <w:t>https://www.bbc.co.uk/bitesize/articles/zkjv382</w:t>
        </w:r>
      </w:hyperlink>
      <w:r>
        <w:t xml:space="preserve"> and also here from the national academy providing  video support  </w:t>
      </w:r>
      <w:hyperlink r:id="rId7" w:history="1">
        <w:r>
          <w:rPr>
            <w:rStyle w:val="Hyperlink"/>
          </w:rPr>
          <w:t>https://www.thenational.academy/year-1/maths/to-problem-solve-using-doubling-and-halving-year-1-wk1-5/#</w:t>
        </w:r>
      </w:hyperlink>
      <w:r>
        <w:t xml:space="preserve"> </w:t>
      </w:r>
    </w:p>
    <w:p w:rsidR="00BA243D" w:rsidRDefault="00BA243D" w:rsidP="004C1785"/>
    <w:p w:rsidR="00BA243D" w:rsidRDefault="00BA243D" w:rsidP="004C1785"/>
    <w:p w:rsidR="00BA243D" w:rsidRDefault="00BA243D" w:rsidP="004C1785"/>
    <w:p w:rsidR="00C75892" w:rsidRDefault="00C75892" w:rsidP="004C1785"/>
    <w:p w:rsidR="00BA243D" w:rsidRDefault="006835E8" w:rsidP="004C178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67C5146" wp14:editId="4A46D487">
            <wp:simplePos x="0" y="0"/>
            <wp:positionH relativeFrom="column">
              <wp:posOffset>-1207770</wp:posOffset>
            </wp:positionH>
            <wp:positionV relativeFrom="paragraph">
              <wp:posOffset>550545</wp:posOffset>
            </wp:positionV>
            <wp:extent cx="4406265" cy="3789045"/>
            <wp:effectExtent l="381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/>
                    <a:stretch/>
                  </pic:blipFill>
                  <pic:spPr bwMode="auto">
                    <a:xfrm rot="5400000">
                      <a:off x="0" y="0"/>
                      <a:ext cx="4406265" cy="378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5F6C06" wp14:editId="28BFF08E">
            <wp:simplePos x="0" y="0"/>
            <wp:positionH relativeFrom="column">
              <wp:posOffset>2543810</wp:posOffset>
            </wp:positionH>
            <wp:positionV relativeFrom="paragraph">
              <wp:posOffset>396875</wp:posOffset>
            </wp:positionV>
            <wp:extent cx="4759960" cy="3855085"/>
            <wp:effectExtent l="0" t="4763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3516" b="8390"/>
                    <a:stretch/>
                  </pic:blipFill>
                  <pic:spPr bwMode="auto">
                    <a:xfrm rot="5400000">
                      <a:off x="0" y="0"/>
                      <a:ext cx="4759960" cy="385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3D" w:rsidRDefault="00BA243D" w:rsidP="004C1785">
      <w:pPr>
        <w:rPr>
          <w:noProof/>
          <w:lang w:eastAsia="en-GB"/>
        </w:rPr>
      </w:pPr>
    </w:p>
    <w:p w:rsidR="00BA243D" w:rsidRDefault="00BA243D" w:rsidP="004C1785">
      <w:pPr>
        <w:rPr>
          <w:noProof/>
          <w:lang w:eastAsia="en-GB"/>
        </w:rPr>
      </w:pPr>
    </w:p>
    <w:p w:rsidR="00BA243D" w:rsidRDefault="00BA243D" w:rsidP="004C1785">
      <w:pPr>
        <w:rPr>
          <w:noProof/>
          <w:lang w:eastAsia="en-GB"/>
        </w:rPr>
      </w:pPr>
    </w:p>
    <w:p w:rsidR="00BA243D" w:rsidRDefault="00BA243D" w:rsidP="004C1785">
      <w:pPr>
        <w:rPr>
          <w:noProof/>
          <w:lang w:eastAsia="en-GB"/>
        </w:rPr>
      </w:pPr>
    </w:p>
    <w:p w:rsidR="00BA243D" w:rsidRDefault="00BA243D" w:rsidP="004C1785">
      <w:pPr>
        <w:rPr>
          <w:noProof/>
          <w:lang w:eastAsia="en-GB"/>
        </w:rPr>
      </w:pPr>
    </w:p>
    <w:p w:rsidR="00BA243D" w:rsidRDefault="00BA243D" w:rsidP="004C1785">
      <w:pPr>
        <w:rPr>
          <w:noProof/>
          <w:lang w:eastAsia="en-GB"/>
        </w:rPr>
      </w:pPr>
    </w:p>
    <w:p w:rsidR="00BA243D" w:rsidRDefault="00BA243D" w:rsidP="004C1785">
      <w:pPr>
        <w:rPr>
          <w:noProof/>
          <w:lang w:eastAsia="en-GB"/>
        </w:rPr>
      </w:pPr>
    </w:p>
    <w:p w:rsidR="00C75892" w:rsidRDefault="00C75892" w:rsidP="004C1785"/>
    <w:p w:rsidR="00BA243D" w:rsidRDefault="00BA243D" w:rsidP="004C1785"/>
    <w:p w:rsidR="00BA243D" w:rsidRDefault="00BA243D" w:rsidP="004C1785">
      <w:r>
        <w:lastRenderedPageBreak/>
        <w:t>In thos</w:t>
      </w:r>
      <w:r w:rsidR="006835E8">
        <w:t>e picture representations above</w:t>
      </w:r>
      <w:r>
        <w:t>, the idea of them being equal is not obvious. This is where the use of an array is used to support the understanding</w:t>
      </w:r>
      <w:r w:rsidR="006835E8">
        <w:t xml:space="preserve"> of commutative law helps</w:t>
      </w:r>
      <w:r>
        <w:t>, pic</w:t>
      </w:r>
      <w:bookmarkStart w:id="0" w:name="_GoBack"/>
      <w:bookmarkEnd w:id="0"/>
      <w:r>
        <w:t xml:space="preserve">torially. </w:t>
      </w:r>
    </w:p>
    <w:p w:rsidR="00BA243D" w:rsidRDefault="00BA243D" w:rsidP="004C1785">
      <w:r>
        <w:t>Arrays:</w:t>
      </w:r>
    </w:p>
    <w:p w:rsidR="00BA243D" w:rsidRPr="004C1785" w:rsidRDefault="006835E8" w:rsidP="004C1785">
      <w:r>
        <w:rPr>
          <w:noProof/>
          <w:lang w:eastAsia="en-GB"/>
        </w:rPr>
        <w:drawing>
          <wp:inline distT="0" distB="0" distL="0" distR="0" wp14:anchorId="23703B70" wp14:editId="0B11E296">
            <wp:extent cx="3990975" cy="3152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09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43D" w:rsidRPr="004C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B2C"/>
    <w:multiLevelType w:val="hybridMultilevel"/>
    <w:tmpl w:val="3AF65016"/>
    <w:lvl w:ilvl="0" w:tplc="B270E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E9"/>
    <w:rsid w:val="0009606B"/>
    <w:rsid w:val="002839E9"/>
    <w:rsid w:val="004C1785"/>
    <w:rsid w:val="006835E8"/>
    <w:rsid w:val="009E795F"/>
    <w:rsid w:val="00B34007"/>
    <w:rsid w:val="00BA243D"/>
    <w:rsid w:val="00C75892"/>
    <w:rsid w:val="00D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2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2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thenational.academy/year-1/maths/to-problem-solve-using-doubling-and-halving-year-1-wk1-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jv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AD82DBA7</Template>
  <TotalTime>128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Shannon</dc:creator>
  <cp:lastModifiedBy>Kelly, Shannon</cp:lastModifiedBy>
  <cp:revision>2</cp:revision>
  <dcterms:created xsi:type="dcterms:W3CDTF">2020-04-20T09:25:00Z</dcterms:created>
  <dcterms:modified xsi:type="dcterms:W3CDTF">2020-04-20T13:23:00Z</dcterms:modified>
</cp:coreProperties>
</file>